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PRÁCTICA # 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Debate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Actividad: Debate sobre las Ventajas del State Machine Pattern en el Desarrollo de Contratos Inteligentes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Analizar y comprender las ventajas del State Machine Pattern en el diseño y desarrollo de contratos inteligentes que involucran estados complejos y lógica empresarial.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Descripción: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 actividad se centrará en un debate estructurado que permitirá a los participantes explorar las ventajas del State Machine Pattern en el contexto de contratos inteligentes. Se seguirá la siguiente estructura: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Presentación de casos de uso reales: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 presentarán ejemplos concretos donde los contratos inteligentes deben manejar estados complejos y lógica empresarial. Pueden incluir procesos de votación, gestión de activos digitales o ejecución de acuerdos comerciales.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Análisis de los desafíos: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Los participantes identificarán y discutirán los desafíos asociados con el diseño de contratos inteligentes que involucran múltiples estados y transiciones. Esto incluirá aspectos como la gestión de la lógica empresarial, la sincronización de estados entre múltiples participantes y la seguridad en la ejecución de transiciones de estado.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Ventajas del State Machine Pattern: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Luego, se analizará cómo el State Machine Pattern aborda estos desafíos al proporcionar una estructura clara y modular para definir estados, transiciones y reglas de negocio. Se destacará la flexibilidad y la escalabilidad del patrón, que permite adaptarse fácilmente a cambios en los requisitos empresariales y agregar nuevos estados o transiciones según sea necesario.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Estudio de casos de éxito: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consultar ejemplos de proyectos reales que han implementado el State Machine Pattern en sus contratos inteligentes y analiza los beneficios obtenidos. Esto puede incluir mejoras en la claridad del código, la reducción de errores y la capacidad de mantener y escalar el sistema con facilidad.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Debate abierto: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abre la discusión a los participantes para que compartan sus experiencias, opiniones y preguntas sobre el uso del State Machine Pattern en el diseño de contratos inteligentes. Fomenta el intercambio de ideas y la colaboración para enriquecer la comprensión colectiva del tema.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-580572</wp:posOffset>
          </wp:positionH>
          <wp:positionV relativeFrom="paragraph">
            <wp:posOffset>-174775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26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-1080106</wp:posOffset>
          </wp:positionH>
          <wp:positionV relativeFrom="paragraph">
            <wp:posOffset>-449544</wp:posOffset>
          </wp:positionV>
          <wp:extent cx="7763933" cy="957534"/>
          <wp:effectExtent b="0" l="0" r="0" t="0"/>
          <wp:wrapNone/>
          <wp:docPr id="14749282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4TZeafzhU+4sCmll1gZM7pM2tA==">CgMxLjA4AHIhMXJqYUVnN3dZZHJsZ3RjTlZZYUl6OHo5dU40aHRScFNk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