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PRÁCTICA # 1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36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Actividades:</w:t>
      </w:r>
    </w:p>
    <w:p w:rsidR="00000000" w:rsidDel="00000000" w:rsidP="00000000" w:rsidRDefault="00000000" w:rsidRPr="00000000" w14:paraId="00000004">
      <w:pPr>
        <w:spacing w:after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 1: Variación del Contrato de Almacenamiento: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Descripción: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Modifica el contrato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SimpleStorage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que además de almacenar un valor entero, también permita a los usuarios recuperar el valor almacenado.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240" w:line="360" w:lineRule="auto"/>
        <w:ind w:left="1440" w:hanging="360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Comandos Principales:</w:t>
      </w:r>
    </w:p>
    <w:p w:rsidR="00000000" w:rsidDel="00000000" w:rsidP="00000000" w:rsidRDefault="00000000" w:rsidRPr="00000000" w14:paraId="00000008">
      <w:pPr>
        <w:spacing w:after="240" w:line="360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setData(uint256 _data)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Función para establecer el valor almacenado.</w:t>
      </w:r>
    </w:p>
    <w:p w:rsidR="00000000" w:rsidDel="00000000" w:rsidP="00000000" w:rsidRDefault="00000000" w:rsidRPr="00000000" w14:paraId="00000009">
      <w:pPr>
        <w:spacing w:after="240" w:line="360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data()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Función para recuperar el valor almacenado.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240" w:line="360" w:lineRule="auto"/>
        <w:ind w:left="1440" w:hanging="360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Explicación:</w:t>
      </w:r>
    </w:p>
    <w:p w:rsidR="00000000" w:rsidDel="00000000" w:rsidP="00000000" w:rsidRDefault="00000000" w:rsidRPr="00000000" w14:paraId="0000000B">
      <w:pPr>
        <w:spacing w:after="240" w:line="360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setData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Permite a los usuarios establecer el valor almacenado en el contrato.</w:t>
      </w:r>
    </w:p>
    <w:p w:rsidR="00000000" w:rsidDel="00000000" w:rsidP="00000000" w:rsidRDefault="00000000" w:rsidRPr="00000000" w14:paraId="0000000C">
      <w:pPr>
        <w:spacing w:after="240" w:line="360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Permite a los usuarios recuperar el valor almacenado del contrato.</w:t>
      </w:r>
    </w:p>
    <w:p w:rsidR="00000000" w:rsidDel="00000000" w:rsidP="00000000" w:rsidRDefault="00000000" w:rsidRPr="00000000" w14:paraId="0000000D">
      <w:pPr>
        <w:spacing w:after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 2: Variación del Contrato de Transferencia de Ether: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Descripción: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Modifica el contrato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SimpleTransfer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que además de permitir a los usuarios transferir Ether a otra dirección, también tenga una función que devuelva el saldo actual del contrato.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240" w:line="360" w:lineRule="auto"/>
        <w:ind w:left="1440" w:hanging="360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Comandos Principales:</w:t>
      </w:r>
    </w:p>
    <w:p w:rsidR="00000000" w:rsidDel="00000000" w:rsidP="00000000" w:rsidRDefault="00000000" w:rsidRPr="00000000" w14:paraId="00000011">
      <w:pPr>
        <w:spacing w:after="240" w:line="360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transfer(address payable _recipient) payable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Función para transferir Ether a otra dirección.</w:t>
      </w:r>
    </w:p>
    <w:p w:rsidR="00000000" w:rsidDel="00000000" w:rsidP="00000000" w:rsidRDefault="00000000" w:rsidRPr="00000000" w14:paraId="00000012">
      <w:pPr>
        <w:spacing w:after="240" w:line="360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getContractBalance()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Función para consultar el saldo actual del contrato.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240" w:line="360" w:lineRule="auto"/>
        <w:ind w:left="1440" w:hanging="360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Explicación:</w:t>
      </w:r>
    </w:p>
    <w:p w:rsidR="00000000" w:rsidDel="00000000" w:rsidP="00000000" w:rsidRDefault="00000000" w:rsidRPr="00000000" w14:paraId="00000014">
      <w:pPr>
        <w:spacing w:after="240" w:line="360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transfer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Permite a los usuarios enviar Ether a otra dirección especificada.</w:t>
      </w:r>
    </w:p>
    <w:p w:rsidR="00000000" w:rsidDel="00000000" w:rsidP="00000000" w:rsidRDefault="00000000" w:rsidRPr="00000000" w14:paraId="00000015">
      <w:pPr>
        <w:spacing w:after="240" w:line="360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getContractBalance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Permite a los usuarios consultar el saldo actual del contrato.</w:t>
      </w:r>
    </w:p>
    <w:p w:rsidR="00000000" w:rsidDel="00000000" w:rsidP="00000000" w:rsidRDefault="00000000" w:rsidRPr="00000000" w14:paraId="00000016">
      <w:pPr>
        <w:spacing w:after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 3: Variación del Contrato de Verificación de Paridad: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Descripción: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Modifica el contrato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ParityVerifier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que tenga una función que verifique si un número dado es primo.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240" w:line="360" w:lineRule="auto"/>
        <w:ind w:left="1440" w:hanging="360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Comandos Principales:</w:t>
      </w:r>
    </w:p>
    <w:p w:rsidR="00000000" w:rsidDel="00000000" w:rsidP="00000000" w:rsidRDefault="00000000" w:rsidRPr="00000000" w14:paraId="0000001A">
      <w:pPr>
        <w:spacing w:after="240" w:line="360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checkPrime(uint256 _number) pure returns (bool)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Función para verificar si un número dado es primo.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240" w:line="360" w:lineRule="auto"/>
        <w:ind w:left="1440" w:hanging="360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Explicación:</w:t>
      </w:r>
    </w:p>
    <w:p w:rsidR="00000000" w:rsidDel="00000000" w:rsidP="00000000" w:rsidRDefault="00000000" w:rsidRPr="00000000" w14:paraId="0000001C">
      <w:pPr>
        <w:spacing w:after="240" w:line="360" w:lineRule="auto"/>
        <w:ind w:left="2160" w:firstLine="0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checkPrime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Verifica si el número dado es primo y devuelve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true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si lo es, y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false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caso contrario.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-580572</wp:posOffset>
          </wp:positionH>
          <wp:positionV relativeFrom="paragraph">
            <wp:posOffset>-174775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26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-1080106</wp:posOffset>
          </wp:positionH>
          <wp:positionV relativeFrom="paragraph">
            <wp:posOffset>-449544</wp:posOffset>
          </wp:positionV>
          <wp:extent cx="7763933" cy="957534"/>
          <wp:effectExtent b="0" l="0" r="0" t="0"/>
          <wp:wrapNone/>
          <wp:docPr id="14749282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Roa/vboPGZ6OsGBR7l95FgpOQ==">CgMxLjA4AHIhMTcxR05TWHRLUkZsQTRSbmQ0c0lVT3V0UC1HUzA2N2hm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