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9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True/false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Questions about the previous text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In symmetric cryptography, different keys are used for encryption and decryption.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Answer: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False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Explanation: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Symmetric cryptography uses the same key for both encryption and decryption.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Hash functions can be reversed, allowing the retrieval of the original plaintext.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Answer: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 False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Explanation: Hash functions are one-way and cannot be easily reversed to obtain the original plaintext.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Asymmetric cryptography involves the use of a single key for both encryption and decryption.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Answer: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False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Explanation: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Asymmetric cryptography uses a pair of keys - public for encryption and private for decryption.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Public Key Infrastructure (PKI) plays a role in ensuring data confidentiality in symmetric cryptography.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Answer: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False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Explanation: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PKI is associated with public-key cryptography and supports authentication and non-repudiation.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The Advanced Encryption Standard (AES) is an example of a symmetric encryption algorithm.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Answer: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True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Explanation: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AES is a widely accepted standard used for symmetric encryp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64" w:lineRule="auto"/>
        <w:jc w:val="center"/>
        <w:rPr>
          <w:rFonts w:ascii="Play" w:cs="Play" w:eastAsia="Play" w:hAnsi="Play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-580600</wp:posOffset>
          </wp:positionH>
          <wp:positionV relativeFrom="paragraph">
            <wp:posOffset>-174803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68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60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3933" cy="957534"/>
          <wp:effectExtent b="0" l="0" r="0" t="0"/>
          <wp:wrapNone/>
          <wp:docPr id="14749281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VI3qxFS540OCUzBSi+VpFyg4g==">CgMxLjA4AHIhMWpFUlJkcjV5QXN5X1ZpWm5oUDNVRGFKUDlXc0o1R0NT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