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#1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Matching Activity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Matching Vocabulary activity about the previous reading.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Match the Term with its Definition: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125"/>
        <w:gridCol w:w="5640"/>
        <w:tblGridChange w:id="0">
          <w:tblGrid>
            <w:gridCol w:w="2085"/>
            <w:gridCol w:w="1125"/>
            <w:gridCol w:w="5640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d9d9e3" w:space="0" w:sz="7" w:val="single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e3" w:space="0" w:sz="7" w:val="single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Answer</w:t>
            </w:r>
          </w:p>
        </w:tc>
        <w:tc>
          <w:tcPr>
            <w:tcBorders>
              <w:top w:color="d9d9e3" w:space="0" w:sz="7" w:val="single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Definitions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QR Code.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process of renewing or reviving a place, often involving physical and economic improvements.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Augmented Reality.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Communication that is lively, interactive, and constantly changing.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Regeneration Project.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 small, scannable code that holds information and can be read by a smartphone app.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Dynamic Messaging.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Exploring art installations through a designated route, often using technology.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Virtual Art Walk.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e3" w:space="0" w:sz="7" w:val="single"/>
              <w:bottom w:color="d9d9e3" w:space="0" w:sz="7" w:val="single"/>
              <w:right w:color="d9d9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 technology that overlays digital content onto the real world, often viewed through a device like a smartphone.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yiIh1ZC8zAA/fAKgjGkjxxJ9Q==">CgMxLjA4AHIhMVlHWTdLZ0s4aUc2d25haHIzV00yOGNELWFNeXpkMnF2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