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ACTIVITY #3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Fill in the blanks with the appropriate NLP key terms.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____________ is a discipline concerned with the interaction between natural human languages and computing devices, falling within the realms of computational linguistics, computer science, and artificial intelligence.</w:t>
        <w:br w:type="textWrapping"/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____________ is an early step in the NLP process that involves splitting longer strings of text into smaller pieces or tokens, which can be sentences or words.</w:t>
        <w:br w:type="textWrapping"/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Before further processing, text needs to be ____________, which involves tasks to put all text on a level playing field, such as converting all text to the same case, removing punctuation, and expanding contractions.</w:t>
        <w:br w:type="textWrapping"/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____________ is the process of eliminating affixes from a word to obtain its stem, while ____________ is related but captures canonical forms based on a word's lemma.</w:t>
        <w:br w:type="textWrapping"/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In linguistics and NLP, a ____________ refers to a collection of texts used for statistical linguistic analysis and hypothesis testing.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-580599</wp:posOffset>
          </wp:positionH>
          <wp:positionV relativeFrom="paragraph">
            <wp:posOffset>-174802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b="0" l="0" r="0" t="0"/>
          <wp:wrapNone/>
          <wp:docPr id="14749281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VRqtpieyL98mRhqPNjo1qK25w==">CgMxLjA4AHIhMXQ3YS1hWUZNZF9OSWplQUZBSVB3RzhSdUpYbElETVJn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