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4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 False 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4) True/False activity.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True/False: Short videos are considered ineffective for engaging a wider audience due to their limited duration.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True/False: Silent videos are gaining popularity in 2023 because they allow users to watch content discreetly in public places.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True/False: Animated and motion graphic videos are not suitable for explaining complex ideas or data effectively.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True/False: Aerial videos and drones are not cost-effective compared to other traditional video production methods.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True/False: According to the text, emerging trends like live-streaming and virtual reality are not expected to have a significant impact on video production in the coming years.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-580583</wp:posOffset>
          </wp:positionH>
          <wp:positionV relativeFrom="paragraph">
            <wp:posOffset>-174786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3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-1080117</wp:posOffset>
          </wp:positionH>
          <wp:positionV relativeFrom="paragraph">
            <wp:posOffset>-449558</wp:posOffset>
          </wp:positionV>
          <wp:extent cx="7763933" cy="957534"/>
          <wp:effectExtent b="0" l="0" r="0" t="0"/>
          <wp:wrapNone/>
          <wp:docPr id="147492820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OPlHn1aAVD5bDlhqPbfy8kkVw==">CgMxLjA4AHIhMV93Z0l4LXBpX1pTWUZ2TmtEUVZybk1JQnVrWVhJbkR6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