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Fill in the blank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5) Fill in the blank vocabulary activity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Short videos can range from __________ seconds and are very popular on platforms like Instagram, Youtube, and TikTok.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Silent videos, accompanied by concise __________, subtitles, or call-outs, deliver messages effectively without sound.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Animation and motion graphics are the most effective tools for corporate video production, especially when it comes to explaining complex ideas or data in a visually appealing 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 the rise of social media, video content has become a driving force in connecting businesses with their target __________.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Drones, equipped with high-quality __________, can capture stunning visuals from unique perspectives that could capture the scale, complexity, and grandeur of your operations.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-580582</wp:posOffset>
          </wp:positionH>
          <wp:positionV relativeFrom="paragraph">
            <wp:posOffset>-174785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5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-1080116</wp:posOffset>
          </wp:positionH>
          <wp:positionV relativeFrom="paragraph">
            <wp:posOffset>-449556</wp:posOffset>
          </wp:positionV>
          <wp:extent cx="7763933" cy="957534"/>
          <wp:effectExtent b="0" l="0" r="0" t="0"/>
          <wp:wrapNone/>
          <wp:docPr id="147492820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Mq0JEPMB/j/MSm63GfrEqsqJQ==">CgMxLjA4AHIhMVBvUHc4QzhIdXRINEZ4UmRqbE9mUUZBNnJpSXZnUC1N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