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9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Tarea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questions about the video: "What is an ICO?"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the key differences between an ICO and traditional forms of fundraising, such as IPOs?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have ICOs impacted the startup landscape, both positively and negatively, in terms of access to capital and investor participation?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some regulatory challenges and concerns associated with ICOs, and how do these impact the credibility and longevity of projects launched through ICOs?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-580580</wp:posOffset>
          </wp:positionH>
          <wp:positionV relativeFrom="paragraph">
            <wp:posOffset>-174783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9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-1080114</wp:posOffset>
          </wp:positionH>
          <wp:positionV relativeFrom="paragraph">
            <wp:posOffset>-449554</wp:posOffset>
          </wp:positionV>
          <wp:extent cx="7763933" cy="957534"/>
          <wp:effectExtent b="0" l="0" r="0" t="0"/>
          <wp:wrapNone/>
          <wp:docPr id="14749282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+niLI21d3SoiY5qzzDZdDJ2Txw==">CgMxLjA4AHIhMUJ0R2gxRExwTjR3RzZzNGlHMHRtN3IzQzhBNzcwbjg5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