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 or False activity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Generative AI has the potential to impact 90% of all work hours across all industries.**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Answer: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Spatial computing involves creating immersive 2D environments using AR/VR technologies.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Answer: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The study identifies three key trends in the humanization of technology.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Answer: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According to Carolina Botero, the shift towards more humanized technologies will not impact the way people work, live, and learn.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Answer: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Human-Machine Interaction involves technologies like brain-sensing neurotechnology, AI-enabled wearables, and eye tracking to understand human behaviors and intentions.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Answer: 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-580593</wp:posOffset>
          </wp:positionH>
          <wp:positionV relativeFrom="paragraph">
            <wp:posOffset>-174796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-1080127</wp:posOffset>
          </wp:positionH>
          <wp:positionV relativeFrom="paragraph">
            <wp:posOffset>-449570</wp:posOffset>
          </wp:positionV>
          <wp:extent cx="7763933" cy="957534"/>
          <wp:effectExtent b="0" l="0" r="0" t="0"/>
          <wp:wrapNone/>
          <wp:docPr id="1474928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/9jD1sjE7+CdTXRHYV/HaTtq7g==">CgMxLjA4AHIhMWhhamdaYVJoVU9vWldSWUxhWURITHRHRmE5YnR0cGph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