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Matching activity (previous reading).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Match the terms from Column A with their corresponding descriptions from Column B.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110"/>
        <w:gridCol w:w="5685"/>
        <w:tblGridChange w:id="0">
          <w:tblGrid>
            <w:gridCol w:w="2025"/>
            <w:gridCol w:w="1110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NLP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A. The acronym for the integration of artificial intelligence with human language, enhancing teaching, learning, and evaluation in education.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EdTech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B. A transformative force in the educational sector, bringing about a synthesis of human linguistic capability with artificial intelligence.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Content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C. Involves tools that read, analyze, and respond to human language within the educational sphere.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Platforms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D. Refers to the technological backbone of contemporary educational platforms, providing a linchpin for personalized and engaging educational experiences.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Sentiment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D. Refers to the technological backbone of contemporary educational platforms, providing a linchpin for personalized and engaging educational experiences.</w:t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B9nziJQNf3+BPWK/pgnpBp2ag==">CgMxLjA4AHIhMUNsb2ZrQjBXc0NxbUFFNEg5UlljZlR0eF9LaXJ5VnhK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